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5E" w:rsidRDefault="007672D6" w:rsidP="007672D6">
      <w:pPr>
        <w:jc w:val="center"/>
      </w:pPr>
      <w:r>
        <w:rPr>
          <w:noProof/>
          <w:lang w:eastAsia="es-CR"/>
        </w:rPr>
        <w:drawing>
          <wp:inline distT="0" distB="0" distL="0" distR="0" wp14:anchorId="3DCB3FE1">
            <wp:extent cx="1184728" cy="9172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28" cy="94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2D6" w:rsidRDefault="007672D6" w:rsidP="007672D6">
      <w:pPr>
        <w:jc w:val="center"/>
        <w:rPr>
          <w:rFonts w:ascii="Century Gothic" w:hAnsi="Century Gothic"/>
          <w:noProof/>
          <w:sz w:val="24"/>
          <w:szCs w:val="24"/>
          <w:lang w:eastAsia="es-CR"/>
        </w:rPr>
      </w:pPr>
      <w:r w:rsidRPr="00BA2DC4">
        <w:rPr>
          <w:rFonts w:ascii="Century Gothic" w:hAnsi="Century Gothic"/>
          <w:noProof/>
          <w:sz w:val="24"/>
          <w:szCs w:val="24"/>
          <w:lang w:eastAsia="es-CR"/>
        </w:rPr>
        <w:t>REFORMA INTEGRAL AL REGLAMENTO DE CRÉDITO</w:t>
      </w:r>
    </w:p>
    <w:p w:rsidR="00BA2DC4" w:rsidRPr="00BA2DC4" w:rsidRDefault="00BA2DC4" w:rsidP="007672D6">
      <w:pPr>
        <w:jc w:val="center"/>
        <w:rPr>
          <w:rFonts w:ascii="Century Gothic" w:hAnsi="Century Gothic"/>
          <w:noProof/>
          <w:sz w:val="24"/>
          <w:szCs w:val="24"/>
          <w:lang w:eastAsia="es-CR"/>
        </w:rPr>
      </w:pPr>
      <w:bookmarkStart w:id="0" w:name="_GoBack"/>
      <w:bookmarkEnd w:id="0"/>
    </w:p>
    <w:p w:rsidR="007672D6" w:rsidRPr="00BA2DC4" w:rsidRDefault="007672D6" w:rsidP="007672D6">
      <w:pPr>
        <w:spacing w:after="0" w:line="0" w:lineRule="atLeast"/>
        <w:jc w:val="both"/>
        <w:rPr>
          <w:rFonts w:ascii="Century Gothic" w:hAnsi="Century Gothic"/>
          <w:noProof/>
          <w:sz w:val="24"/>
          <w:szCs w:val="24"/>
          <w:lang w:eastAsia="es-CR"/>
        </w:rPr>
      </w:pPr>
      <w:r w:rsidRPr="00BA2DC4">
        <w:rPr>
          <w:rFonts w:ascii="Century Gothic" w:hAnsi="Century Gothic"/>
          <w:noProof/>
          <w:sz w:val="24"/>
          <w:szCs w:val="24"/>
          <w:lang w:eastAsia="es-CR"/>
        </w:rPr>
        <w:t>Siguiendo el objetivo de mejora constante de su</w:t>
      </w:r>
      <w:r w:rsidR="00E7780E" w:rsidRPr="00BA2DC4">
        <w:rPr>
          <w:rFonts w:ascii="Century Gothic" w:hAnsi="Century Gothic"/>
          <w:noProof/>
          <w:sz w:val="24"/>
          <w:szCs w:val="24"/>
          <w:lang w:eastAsia="es-CR"/>
        </w:rPr>
        <w:t xml:space="preserve"> gestión</w:t>
      </w:r>
      <w:r w:rsidRPr="00BA2DC4">
        <w:rPr>
          <w:rFonts w:ascii="Century Gothic" w:hAnsi="Century Gothic"/>
          <w:noProof/>
          <w:sz w:val="24"/>
          <w:szCs w:val="24"/>
          <w:lang w:eastAsia="es-CR"/>
        </w:rPr>
        <w:t xml:space="preserve"> y procedimientos COOPESALUGO R.L. ha realizado una actualización y ampliación de las normas que rigen la concesión de créditos a sus asociados.</w:t>
      </w:r>
    </w:p>
    <w:p w:rsidR="007672D6" w:rsidRPr="00BA2DC4" w:rsidRDefault="007672D6" w:rsidP="007672D6">
      <w:pPr>
        <w:spacing w:after="0" w:line="0" w:lineRule="atLeast"/>
        <w:jc w:val="both"/>
        <w:rPr>
          <w:rFonts w:ascii="Century Gothic" w:hAnsi="Century Gothic"/>
          <w:sz w:val="24"/>
          <w:szCs w:val="24"/>
        </w:rPr>
      </w:pPr>
      <w:r w:rsidRPr="00BA2DC4">
        <w:rPr>
          <w:rFonts w:ascii="Century Gothic" w:hAnsi="Century Gothic"/>
          <w:sz w:val="24"/>
          <w:szCs w:val="24"/>
        </w:rPr>
        <w:t xml:space="preserve">El Consejo de Administración y la gerencia se dieron a la tarea de </w:t>
      </w:r>
      <w:r w:rsidR="00E7780E" w:rsidRPr="00BA2DC4">
        <w:rPr>
          <w:rFonts w:ascii="Century Gothic" w:hAnsi="Century Gothic"/>
          <w:sz w:val="24"/>
          <w:szCs w:val="24"/>
        </w:rPr>
        <w:t xml:space="preserve">evaluar </w:t>
      </w:r>
      <w:r w:rsidR="00DE5E7B" w:rsidRPr="00BA2DC4">
        <w:rPr>
          <w:rFonts w:ascii="Century Gothic" w:hAnsi="Century Gothic"/>
          <w:sz w:val="24"/>
          <w:szCs w:val="24"/>
        </w:rPr>
        <w:t>y</w:t>
      </w:r>
      <w:r w:rsidRPr="00BA2DC4">
        <w:rPr>
          <w:rFonts w:ascii="Century Gothic" w:hAnsi="Century Gothic"/>
          <w:sz w:val="24"/>
          <w:szCs w:val="24"/>
        </w:rPr>
        <w:t xml:space="preserve"> </w:t>
      </w:r>
      <w:r w:rsidR="008A102E" w:rsidRPr="00BA2DC4">
        <w:rPr>
          <w:rFonts w:ascii="Century Gothic" w:hAnsi="Century Gothic"/>
          <w:sz w:val="24"/>
          <w:szCs w:val="24"/>
        </w:rPr>
        <w:t>reformular el</w:t>
      </w:r>
      <w:r w:rsidRPr="00BA2DC4">
        <w:rPr>
          <w:rFonts w:ascii="Century Gothic" w:hAnsi="Century Gothic"/>
          <w:sz w:val="24"/>
          <w:szCs w:val="24"/>
        </w:rPr>
        <w:t xml:space="preserve"> Reglamento respectivo con el fin de armonizarlo </w:t>
      </w:r>
      <w:r w:rsidR="00DE5E7B" w:rsidRPr="00BA2DC4">
        <w:rPr>
          <w:rFonts w:ascii="Century Gothic" w:hAnsi="Century Gothic"/>
          <w:sz w:val="24"/>
          <w:szCs w:val="24"/>
        </w:rPr>
        <w:t>con</w:t>
      </w:r>
      <w:r w:rsidRPr="00BA2DC4">
        <w:rPr>
          <w:rFonts w:ascii="Century Gothic" w:hAnsi="Century Gothic"/>
          <w:sz w:val="24"/>
          <w:szCs w:val="24"/>
        </w:rPr>
        <w:t xml:space="preserve"> los </w:t>
      </w:r>
      <w:r w:rsidR="00DE5E7B" w:rsidRPr="00BA2DC4">
        <w:rPr>
          <w:rFonts w:ascii="Century Gothic" w:hAnsi="Century Gothic"/>
          <w:sz w:val="24"/>
          <w:szCs w:val="24"/>
        </w:rPr>
        <w:t xml:space="preserve">principales </w:t>
      </w:r>
      <w:r w:rsidRPr="00BA2DC4">
        <w:rPr>
          <w:rFonts w:ascii="Century Gothic" w:hAnsi="Century Gothic"/>
          <w:sz w:val="24"/>
          <w:szCs w:val="24"/>
        </w:rPr>
        <w:t xml:space="preserve">requerimientos de la </w:t>
      </w:r>
      <w:r w:rsidR="00DE5E7B" w:rsidRPr="00BA2DC4">
        <w:rPr>
          <w:rFonts w:ascii="Century Gothic" w:hAnsi="Century Gothic"/>
          <w:sz w:val="24"/>
          <w:szCs w:val="24"/>
        </w:rPr>
        <w:t>base social, permitiendo a su vez un mejor acercamiento a la solución de las necesidades</w:t>
      </w:r>
      <w:r w:rsidR="00E7780E" w:rsidRPr="00BA2DC4">
        <w:rPr>
          <w:rFonts w:ascii="Century Gothic" w:hAnsi="Century Gothic"/>
          <w:sz w:val="24"/>
          <w:szCs w:val="24"/>
        </w:rPr>
        <w:t xml:space="preserve"> y </w:t>
      </w:r>
      <w:r w:rsidR="00DE5E7B" w:rsidRPr="00BA2DC4">
        <w:rPr>
          <w:rFonts w:ascii="Century Gothic" w:hAnsi="Century Gothic"/>
          <w:sz w:val="24"/>
          <w:szCs w:val="24"/>
        </w:rPr>
        <w:t>la agilización de los procedimientos</w:t>
      </w:r>
      <w:r w:rsidR="00E7780E" w:rsidRPr="00BA2DC4">
        <w:rPr>
          <w:rFonts w:ascii="Century Gothic" w:hAnsi="Century Gothic"/>
          <w:sz w:val="24"/>
          <w:szCs w:val="24"/>
        </w:rPr>
        <w:t>;</w:t>
      </w:r>
      <w:r w:rsidR="00DE5E7B" w:rsidRPr="00BA2DC4">
        <w:rPr>
          <w:rFonts w:ascii="Century Gothic" w:hAnsi="Century Gothic"/>
          <w:sz w:val="24"/>
          <w:szCs w:val="24"/>
        </w:rPr>
        <w:t xml:space="preserve"> así como el fortalecimiento del control</w:t>
      </w:r>
      <w:r w:rsidR="00E7780E" w:rsidRPr="00BA2DC4">
        <w:rPr>
          <w:rFonts w:ascii="Century Gothic" w:hAnsi="Century Gothic"/>
          <w:sz w:val="24"/>
          <w:szCs w:val="24"/>
        </w:rPr>
        <w:t xml:space="preserve"> en</w:t>
      </w:r>
      <w:r w:rsidR="00DE5E7B" w:rsidRPr="00BA2DC4">
        <w:rPr>
          <w:rFonts w:ascii="Century Gothic" w:hAnsi="Century Gothic"/>
          <w:sz w:val="24"/>
          <w:szCs w:val="24"/>
        </w:rPr>
        <w:t xml:space="preserve"> una efectiva recuperación de la cartera. </w:t>
      </w:r>
    </w:p>
    <w:p w:rsidR="008A102E" w:rsidRPr="00BA2DC4" w:rsidRDefault="008A102E" w:rsidP="007672D6">
      <w:pPr>
        <w:spacing w:after="0" w:line="0" w:lineRule="atLeast"/>
        <w:jc w:val="both"/>
        <w:rPr>
          <w:rFonts w:ascii="Century Gothic" w:hAnsi="Century Gothic"/>
          <w:sz w:val="24"/>
          <w:szCs w:val="24"/>
        </w:rPr>
      </w:pPr>
      <w:r w:rsidRPr="00BA2DC4">
        <w:rPr>
          <w:rFonts w:ascii="Century Gothic" w:hAnsi="Century Gothic"/>
          <w:sz w:val="24"/>
          <w:szCs w:val="24"/>
        </w:rPr>
        <w:t>Entre las novedades introducidas se encuentran la aceptación de ingresos adicionales por desarrollo de actividades propias u otras fuentes</w:t>
      </w:r>
      <w:r w:rsidR="0074047F" w:rsidRPr="00BA2DC4">
        <w:rPr>
          <w:rFonts w:ascii="Century Gothic" w:hAnsi="Century Gothic"/>
          <w:sz w:val="24"/>
          <w:szCs w:val="24"/>
        </w:rPr>
        <w:t>, establecimiento de un nivel máximo de compromiso de los ingresos, definición del parámetro para establecer la variabilidad de las tasas de interés y la ampliación de las formas de garantía.</w:t>
      </w: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spacing w:after="0" w:line="0" w:lineRule="atLeast"/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jc w:val="center"/>
        <w:rPr>
          <w:rFonts w:ascii="Century Gothic" w:hAnsi="Century Gothic"/>
          <w:sz w:val="20"/>
          <w:szCs w:val="20"/>
        </w:rPr>
      </w:pPr>
    </w:p>
    <w:p w:rsidR="007672D6" w:rsidRPr="007672D6" w:rsidRDefault="007672D6" w:rsidP="007672D6">
      <w:pPr>
        <w:jc w:val="center"/>
        <w:rPr>
          <w:rFonts w:ascii="Century Gothic" w:hAnsi="Century Gothic"/>
          <w:sz w:val="20"/>
          <w:szCs w:val="20"/>
        </w:rPr>
      </w:pPr>
    </w:p>
    <w:p w:rsidR="007672D6" w:rsidRDefault="007672D6" w:rsidP="007672D6">
      <w:pPr>
        <w:jc w:val="center"/>
      </w:pPr>
    </w:p>
    <w:sectPr w:rsidR="00767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96"/>
    <w:rsid w:val="00154063"/>
    <w:rsid w:val="00502117"/>
    <w:rsid w:val="00530596"/>
    <w:rsid w:val="0074047F"/>
    <w:rsid w:val="007672D6"/>
    <w:rsid w:val="008A102E"/>
    <w:rsid w:val="00AC2BD8"/>
    <w:rsid w:val="00BA2DC4"/>
    <w:rsid w:val="00D6445E"/>
    <w:rsid w:val="00DE5E7B"/>
    <w:rsid w:val="00E2317C"/>
    <w:rsid w:val="00E7780E"/>
    <w:rsid w:val="00F1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3B9"/>
  <w15:chartTrackingRefBased/>
  <w15:docId w15:val="{788335FB-8B0C-429B-84FF-76DBDB91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54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Mauren</cp:lastModifiedBy>
  <cp:revision>2</cp:revision>
  <dcterms:created xsi:type="dcterms:W3CDTF">2019-07-08T22:01:00Z</dcterms:created>
  <dcterms:modified xsi:type="dcterms:W3CDTF">2019-07-08T22:01:00Z</dcterms:modified>
</cp:coreProperties>
</file>